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E94A" w14:textId="77777777" w:rsidR="007D33E1" w:rsidRDefault="00000000" w:rsidP="000142AA">
      <w:pPr>
        <w:spacing w:after="0" w:line="259" w:lineRule="auto"/>
        <w:ind w:left="37" w:firstLine="0"/>
      </w:pPr>
      <w:r>
        <w:rPr>
          <w:b/>
          <w:sz w:val="22"/>
        </w:rPr>
        <w:t xml:space="preserve">SAFETY DATA SHEET  </w:t>
      </w:r>
    </w:p>
    <w:p w14:paraId="541FD68E" w14:textId="5C5D561E" w:rsidR="007D33E1" w:rsidRDefault="007D33E1">
      <w:pPr>
        <w:spacing w:after="0" w:line="259" w:lineRule="auto"/>
        <w:ind w:left="0" w:firstLine="0"/>
        <w:rPr>
          <w:b/>
          <w:sz w:val="18"/>
        </w:rPr>
      </w:pPr>
    </w:p>
    <w:p w14:paraId="19E0EAB1" w14:textId="7870C2C8" w:rsidR="000142AA" w:rsidRPr="000142AA" w:rsidRDefault="000142AA" w:rsidP="000142AA">
      <w:pPr>
        <w:spacing w:after="0" w:line="259" w:lineRule="auto"/>
        <w:ind w:left="0" w:firstLine="0"/>
        <w:rPr>
          <w:b/>
          <w:bCs/>
          <w:sz w:val="18"/>
          <w:u w:val="single"/>
        </w:rPr>
      </w:pPr>
      <w:r w:rsidRPr="000142AA">
        <w:rPr>
          <w:b/>
          <w:sz w:val="18"/>
        </w:rPr>
        <w:tab/>
      </w:r>
      <w:r w:rsidRPr="000142AA">
        <w:rPr>
          <w:b/>
          <w:sz w:val="18"/>
        </w:rPr>
        <w:tab/>
      </w:r>
      <w:r w:rsidRPr="000142AA">
        <w:rPr>
          <w:b/>
          <w:sz w:val="18"/>
        </w:rPr>
        <w:tab/>
      </w:r>
      <w:r w:rsidRPr="000142AA">
        <w:rPr>
          <w:b/>
          <w:sz w:val="18"/>
        </w:rPr>
        <w:tab/>
      </w:r>
      <w:r w:rsidRPr="000142AA">
        <w:rPr>
          <w:b/>
          <w:sz w:val="18"/>
        </w:rPr>
        <w:tab/>
      </w:r>
      <w:r w:rsidRPr="000142AA">
        <w:rPr>
          <w:b/>
          <w:sz w:val="18"/>
        </w:rPr>
        <w:tab/>
      </w:r>
      <w:r w:rsidRPr="000142AA">
        <w:rPr>
          <w:b/>
          <w:sz w:val="18"/>
        </w:rPr>
        <w:tab/>
      </w:r>
      <w:r>
        <w:rPr>
          <w:b/>
          <w:sz w:val="18"/>
        </w:rPr>
        <w:tab/>
      </w:r>
      <w:r>
        <w:rPr>
          <w:b/>
          <w:sz w:val="18"/>
        </w:rPr>
        <w:tab/>
      </w:r>
      <w:r>
        <w:rPr>
          <w:b/>
          <w:sz w:val="18"/>
        </w:rPr>
        <w:tab/>
      </w:r>
      <w:r>
        <w:rPr>
          <w:b/>
          <w:sz w:val="18"/>
        </w:rPr>
        <w:tab/>
      </w:r>
      <w:r w:rsidRPr="000142AA">
        <w:rPr>
          <w:b/>
          <w:bCs/>
          <w:sz w:val="18"/>
          <w:u w:val="single"/>
        </w:rPr>
        <w:t>Magic ICE Water</w:t>
      </w:r>
      <w:r>
        <w:rPr>
          <w:b/>
          <w:bCs/>
          <w:sz w:val="18"/>
          <w:u w:val="single"/>
        </w:rPr>
        <w:t xml:space="preserve"> </w:t>
      </w:r>
      <w:r w:rsidRPr="000142AA">
        <w:rPr>
          <w:b/>
          <w:bCs/>
          <w:sz w:val="18"/>
          <w:u w:val="single"/>
        </w:rPr>
        <w:t xml:space="preserve">Treatment </w:t>
      </w:r>
    </w:p>
    <w:p w14:paraId="64984D28" w14:textId="276DD4CA" w:rsidR="000142AA" w:rsidRPr="000142AA" w:rsidRDefault="000142AA" w:rsidP="000142AA">
      <w:pPr>
        <w:spacing w:after="0" w:line="259" w:lineRule="auto"/>
        <w:ind w:left="0" w:firstLine="0"/>
        <w:jc w:val="center"/>
        <w:rPr>
          <w:b/>
          <w:sz w:val="18"/>
        </w:rPr>
      </w:pPr>
      <w:r w:rsidRPr="000142AA">
        <w:rPr>
          <w:b/>
          <w:bCs/>
          <w:sz w:val="18"/>
        </w:rPr>
        <w:t>Thompson Rink Equip. LTD</w:t>
      </w:r>
      <w:r w:rsidRPr="000142AA">
        <w:rPr>
          <w:b/>
          <w:sz w:val="18"/>
        </w:rPr>
        <w:t>.</w:t>
      </w:r>
    </w:p>
    <w:p w14:paraId="41D4F4F6" w14:textId="77777777" w:rsidR="000142AA" w:rsidRPr="000142AA" w:rsidRDefault="000142AA" w:rsidP="000142AA">
      <w:pPr>
        <w:spacing w:after="0" w:line="259" w:lineRule="auto"/>
        <w:ind w:left="0" w:firstLine="0"/>
        <w:rPr>
          <w:b/>
          <w:sz w:val="18"/>
        </w:rPr>
      </w:pPr>
      <w:r w:rsidRPr="000142AA">
        <w:rPr>
          <w:b/>
          <w:sz w:val="18"/>
        </w:rPr>
        <w:t xml:space="preserve">592 Gunn Road Winnipeg, Mb, Canada R2C 5R8 Email </w:t>
      </w:r>
      <w:hyperlink r:id="rId4" w:history="1">
        <w:r w:rsidRPr="000142AA">
          <w:rPr>
            <w:rStyle w:val="Hyperlink"/>
            <w:b/>
            <w:sz w:val="18"/>
          </w:rPr>
          <w:t>thobroom@mymts.net</w:t>
        </w:r>
      </w:hyperlink>
      <w:r w:rsidRPr="000142AA">
        <w:rPr>
          <w:b/>
          <w:sz w:val="18"/>
        </w:rPr>
        <w:t xml:space="preserve"> Phone: +1 (888) 832-3728</w:t>
      </w:r>
    </w:p>
    <w:p w14:paraId="03BDB370" w14:textId="77777777" w:rsidR="000142AA" w:rsidRDefault="000142AA">
      <w:pPr>
        <w:spacing w:after="0" w:line="259" w:lineRule="auto"/>
        <w:ind w:left="0" w:firstLine="0"/>
      </w:pPr>
    </w:p>
    <w:p w14:paraId="6476D502" w14:textId="77777777" w:rsidR="007D33E1" w:rsidRDefault="00000000">
      <w:pPr>
        <w:spacing w:after="0" w:line="259" w:lineRule="auto"/>
        <w:ind w:left="0" w:firstLine="0"/>
      </w:pPr>
      <w:r>
        <w:rPr>
          <w:b/>
        </w:rPr>
        <w:t xml:space="preserve"> </w:t>
      </w:r>
    </w:p>
    <w:p w14:paraId="3DD69C3F" w14:textId="77777777" w:rsidR="007D33E1" w:rsidRDefault="00000000">
      <w:pPr>
        <w:spacing w:after="0" w:line="259" w:lineRule="auto"/>
        <w:ind w:left="0" w:firstLine="0"/>
      </w:pPr>
      <w:r>
        <w:rPr>
          <w:b/>
        </w:rPr>
        <w:t xml:space="preserve"> </w:t>
      </w:r>
    </w:p>
    <w:p w14:paraId="6D34F3A7" w14:textId="77777777" w:rsidR="007D33E1" w:rsidRDefault="00000000">
      <w:pPr>
        <w:pStyle w:val="Heading1"/>
        <w:ind w:left="-4"/>
      </w:pPr>
      <w:r>
        <w:t xml:space="preserve">Section 01: Identification </w:t>
      </w:r>
    </w:p>
    <w:p w14:paraId="2374348C" w14:textId="77777777" w:rsidR="007D33E1" w:rsidRDefault="007D33E1">
      <w:pPr>
        <w:sectPr w:rsidR="007D33E1">
          <w:pgSz w:w="12240" w:h="15840"/>
          <w:pgMar w:top="244" w:right="759" w:bottom="946" w:left="720" w:header="720" w:footer="720" w:gutter="0"/>
          <w:cols w:space="720"/>
        </w:sectPr>
      </w:pPr>
    </w:p>
    <w:p w14:paraId="3C10A179" w14:textId="77777777" w:rsidR="007D33E1" w:rsidRDefault="00000000">
      <w:pPr>
        <w:tabs>
          <w:tab w:val="center" w:pos="2448"/>
          <w:tab w:val="center" w:pos="6990"/>
        </w:tabs>
        <w:ind w:left="-13" w:firstLine="0"/>
      </w:pPr>
      <w:r>
        <w:rPr>
          <w:noProof/>
        </w:rPr>
        <w:drawing>
          <wp:anchor distT="0" distB="0" distL="114300" distR="114300" simplePos="0" relativeHeight="251659264" behindDoc="0" locked="0" layoutInCell="1" allowOverlap="0" wp14:anchorId="06D25623" wp14:editId="4E3F20E8">
            <wp:simplePos x="0" y="0"/>
            <wp:positionH relativeFrom="margin">
              <wp:posOffset>3197224</wp:posOffset>
            </wp:positionH>
            <wp:positionV relativeFrom="paragraph">
              <wp:posOffset>508654</wp:posOffset>
            </wp:positionV>
            <wp:extent cx="411480" cy="411480"/>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stretch>
                      <a:fillRect/>
                    </a:stretch>
                  </pic:blipFill>
                  <pic:spPr>
                    <a:xfrm>
                      <a:off x="0" y="0"/>
                      <a:ext cx="411480" cy="411480"/>
                    </a:xfrm>
                    <a:prstGeom prst="rect">
                      <a:avLst/>
                    </a:prstGeom>
                  </pic:spPr>
                </pic:pic>
              </a:graphicData>
            </a:graphic>
          </wp:anchor>
        </w:drawing>
      </w:r>
      <w:r>
        <w:t xml:space="preserve">Product Name: Crystal Ice </w:t>
      </w:r>
      <w:r>
        <w:tab/>
        <w:t xml:space="preserve"> </w:t>
      </w:r>
      <w:r>
        <w:tab/>
        <w:t xml:space="preserve">Recommended Use: Ice Dressing (See Technical Data Sheet) </w:t>
      </w:r>
    </w:p>
    <w:p w14:paraId="650F64CA" w14:textId="77777777" w:rsidR="007D33E1" w:rsidRDefault="00000000">
      <w:pPr>
        <w:spacing w:after="0" w:line="259" w:lineRule="auto"/>
        <w:ind w:left="0" w:firstLine="0"/>
      </w:pPr>
      <w:r>
        <w:rPr>
          <w:b/>
        </w:rPr>
        <w:t xml:space="preserve"> </w:t>
      </w:r>
    </w:p>
    <w:p w14:paraId="1A9A7E50" w14:textId="77777777" w:rsidR="007D33E1" w:rsidRDefault="00000000">
      <w:pPr>
        <w:pStyle w:val="Heading1"/>
        <w:ind w:left="-4"/>
      </w:pPr>
      <w:r>
        <w:t xml:space="preserve">Section 02: Hazards Identification/Emergency Overview </w:t>
      </w:r>
    </w:p>
    <w:p w14:paraId="33EC903D" w14:textId="77777777" w:rsidR="007D33E1" w:rsidRDefault="00000000">
      <w:pPr>
        <w:ind w:left="-3"/>
      </w:pPr>
      <w:r>
        <w:t xml:space="preserve">Physical State: Liquid  </w:t>
      </w:r>
    </w:p>
    <w:p w14:paraId="15665173" w14:textId="77777777" w:rsidR="007D33E1" w:rsidRDefault="00000000">
      <w:pPr>
        <w:spacing w:after="62" w:line="259" w:lineRule="auto"/>
        <w:ind w:left="0" w:right="5120" w:firstLine="0"/>
      </w:pPr>
      <w:r>
        <w:rPr>
          <w:b/>
        </w:rPr>
        <w:t xml:space="preserve"> </w:t>
      </w:r>
    </w:p>
    <w:p w14:paraId="114F61BA" w14:textId="77777777" w:rsidR="007D33E1" w:rsidRDefault="00000000">
      <w:pPr>
        <w:spacing w:after="0" w:line="259" w:lineRule="auto"/>
        <w:ind w:left="-5" w:right="5120"/>
      </w:pPr>
      <w:r>
        <w:rPr>
          <w:b/>
          <w:u w:val="single" w:color="000000"/>
        </w:rPr>
        <w:t>GHS Classification:</w:t>
      </w:r>
      <w:r>
        <w:rPr>
          <w:rFonts w:ascii="Times New Roman" w:eastAsia="Times New Roman" w:hAnsi="Times New Roman" w:cs="Times New Roman"/>
          <w:sz w:val="24"/>
        </w:rPr>
        <w:t xml:space="preserve"> </w:t>
      </w:r>
      <w:r>
        <w:rPr>
          <w:b/>
        </w:rPr>
        <w:t xml:space="preserve"> </w:t>
      </w:r>
    </w:p>
    <w:p w14:paraId="2D64D1D9" w14:textId="77777777" w:rsidR="007D33E1" w:rsidRDefault="00000000">
      <w:pPr>
        <w:spacing w:after="0" w:line="259" w:lineRule="auto"/>
        <w:ind w:left="-5" w:right="5120"/>
      </w:pPr>
      <w:r>
        <w:rPr>
          <w:b/>
          <w:u w:val="single" w:color="000000"/>
        </w:rPr>
        <w:t>Physical Hazard:</w:t>
      </w:r>
      <w:r>
        <w:t xml:space="preserve">  </w:t>
      </w:r>
    </w:p>
    <w:p w14:paraId="0FD32AEE" w14:textId="77777777" w:rsidR="007D33E1" w:rsidRDefault="00000000">
      <w:pPr>
        <w:ind w:left="-3" w:right="5120"/>
      </w:pPr>
      <w:r>
        <w:t xml:space="preserve">Flammable Liquids- Category 2 </w:t>
      </w:r>
      <w:r>
        <w:rPr>
          <w:sz w:val="20"/>
        </w:rPr>
        <w:t xml:space="preserve"> </w:t>
      </w:r>
    </w:p>
    <w:p w14:paraId="3322AFAC" w14:textId="77777777" w:rsidR="007D33E1" w:rsidRDefault="00000000">
      <w:pPr>
        <w:tabs>
          <w:tab w:val="center" w:pos="5035"/>
        </w:tabs>
        <w:spacing w:after="0" w:line="259" w:lineRule="auto"/>
        <w:ind w:left="-15" w:firstLine="0"/>
      </w:pPr>
      <w:r>
        <w:rPr>
          <w:b/>
          <w:u w:val="single" w:color="000000"/>
        </w:rPr>
        <w:t>Health Hazard:</w:t>
      </w:r>
      <w:r>
        <w:rPr>
          <w:b/>
        </w:rPr>
        <w:t xml:space="preserve"> </w:t>
      </w:r>
      <w:r>
        <w:rPr>
          <w:b/>
        </w:rPr>
        <w:tab/>
      </w:r>
      <w:r>
        <w:rPr>
          <w:sz w:val="20"/>
        </w:rPr>
        <w:t xml:space="preserve"> </w:t>
      </w:r>
    </w:p>
    <w:p w14:paraId="54BA30B3" w14:textId="77777777" w:rsidR="007D33E1" w:rsidRDefault="00000000">
      <w:pPr>
        <w:ind w:left="-3" w:right="7678"/>
      </w:pPr>
      <w:r>
        <w:t xml:space="preserve">Eye damage/eye irritation- category 2A Skin corrosion/irritation- category 2  </w:t>
      </w:r>
    </w:p>
    <w:p w14:paraId="05EB2D5B" w14:textId="77777777" w:rsidR="007D33E1" w:rsidRDefault="00000000">
      <w:pPr>
        <w:ind w:left="-3" w:right="8044"/>
      </w:pPr>
      <w:r>
        <w:t xml:space="preserve">Acute toxicity Oral - category 4 </w:t>
      </w:r>
      <w:r>
        <w:rPr>
          <w:b/>
          <w:u w:val="single" w:color="000000"/>
        </w:rPr>
        <w:t>Hazard Statements:</w:t>
      </w:r>
      <w:r>
        <w:rPr>
          <w:b/>
        </w:rPr>
        <w:t xml:space="preserve"> </w:t>
      </w:r>
    </w:p>
    <w:p w14:paraId="2A37A5DF" w14:textId="77777777" w:rsidR="007D33E1" w:rsidRDefault="00000000">
      <w:pPr>
        <w:ind w:left="-3"/>
      </w:pPr>
      <w:r>
        <w:t xml:space="preserve">Harmful if swallowed. Skin and eye damage may occur.   </w:t>
      </w:r>
    </w:p>
    <w:p w14:paraId="33E31D20" w14:textId="77777777" w:rsidR="007D33E1" w:rsidRDefault="00000000">
      <w:pPr>
        <w:spacing w:after="0" w:line="259" w:lineRule="auto"/>
        <w:ind w:left="0" w:firstLine="0"/>
      </w:pPr>
      <w:r>
        <w:t xml:space="preserve"> </w:t>
      </w:r>
    </w:p>
    <w:p w14:paraId="2AE1288C" w14:textId="77777777" w:rsidR="007D33E1" w:rsidRDefault="00000000">
      <w:pPr>
        <w:ind w:left="-3"/>
      </w:pPr>
      <w:r>
        <w:t>Signal Word:</w:t>
      </w:r>
      <w:r>
        <w:rPr>
          <w:b/>
        </w:rPr>
        <w:t xml:space="preserve"> Warning </w:t>
      </w:r>
    </w:p>
    <w:p w14:paraId="1ADD471F" w14:textId="77777777" w:rsidR="007D33E1" w:rsidRDefault="00000000">
      <w:pPr>
        <w:spacing w:after="0" w:line="259" w:lineRule="auto"/>
        <w:ind w:left="0" w:firstLine="0"/>
      </w:pPr>
      <w:r>
        <w:rPr>
          <w:b/>
        </w:rPr>
        <w:t xml:space="preserve">                </w:t>
      </w:r>
    </w:p>
    <w:p w14:paraId="35FE35F2" w14:textId="77777777" w:rsidR="007D33E1" w:rsidRDefault="00000000">
      <w:pPr>
        <w:ind w:left="-3"/>
      </w:pPr>
      <w:r>
        <w:rPr>
          <w:b/>
        </w:rPr>
        <w:t>Precautionary Statement:</w:t>
      </w:r>
      <w:r>
        <w:t xml:space="preserve"> Avoid contact with skin and eyes. Wear suitable clothing, gloves, eye protection and footwear. In the presence of </w:t>
      </w:r>
      <w:proofErr w:type="spellStart"/>
      <w:r>
        <w:t>vapours</w:t>
      </w:r>
      <w:proofErr w:type="spellEnd"/>
      <w:r>
        <w:t xml:space="preserve">, avoid inhaling. Do not ingest. </w:t>
      </w:r>
    </w:p>
    <w:p w14:paraId="74685BE7" w14:textId="77777777" w:rsidR="007D33E1" w:rsidRDefault="00000000">
      <w:pPr>
        <w:spacing w:after="0" w:line="259" w:lineRule="auto"/>
        <w:ind w:left="0" w:firstLine="0"/>
      </w:pPr>
      <w:r>
        <w:rPr>
          <w:b/>
        </w:rPr>
        <w:t xml:space="preserve"> </w:t>
      </w:r>
    </w:p>
    <w:p w14:paraId="629AA8B3" w14:textId="77777777" w:rsidR="007D33E1" w:rsidRPr="000142AA" w:rsidRDefault="00000000">
      <w:pPr>
        <w:pStyle w:val="Heading1"/>
        <w:ind w:left="-4"/>
        <w:rPr>
          <w:lang w:val="fr-FR"/>
        </w:rPr>
      </w:pPr>
      <w:r w:rsidRPr="000142AA">
        <w:rPr>
          <w:lang w:val="fr-FR"/>
        </w:rPr>
        <w:t xml:space="preserve">Section </w:t>
      </w:r>
      <w:proofErr w:type="gramStart"/>
      <w:r w:rsidRPr="000142AA">
        <w:rPr>
          <w:lang w:val="fr-FR"/>
        </w:rPr>
        <w:t>03:</w:t>
      </w:r>
      <w:proofErr w:type="gramEnd"/>
      <w:r w:rsidRPr="000142AA">
        <w:rPr>
          <w:lang w:val="fr-FR"/>
        </w:rPr>
        <w:t xml:space="preserve"> Composition/Information on </w:t>
      </w:r>
      <w:proofErr w:type="spellStart"/>
      <w:r w:rsidRPr="000142AA">
        <w:rPr>
          <w:lang w:val="fr-FR"/>
        </w:rPr>
        <w:t>Ingredients</w:t>
      </w:r>
      <w:proofErr w:type="spellEnd"/>
      <w:r w:rsidRPr="000142AA">
        <w:rPr>
          <w:lang w:val="fr-FR"/>
        </w:rPr>
        <w:t xml:space="preserve"> </w:t>
      </w:r>
    </w:p>
    <w:p w14:paraId="6246B790" w14:textId="77777777" w:rsidR="007D33E1" w:rsidRDefault="00000000">
      <w:pPr>
        <w:ind w:left="-3"/>
      </w:pPr>
      <w:proofErr w:type="spellStart"/>
      <w:r w:rsidRPr="000142AA">
        <w:rPr>
          <w:lang w:val="fr-FR"/>
        </w:rPr>
        <w:t>Ingredient</w:t>
      </w:r>
      <w:proofErr w:type="spellEnd"/>
      <w:r w:rsidRPr="000142AA">
        <w:rPr>
          <w:lang w:val="fr-FR"/>
        </w:rPr>
        <w:t xml:space="preserve"> </w:t>
      </w:r>
      <w:r w:rsidRPr="000142AA">
        <w:rPr>
          <w:lang w:val="fr-FR"/>
        </w:rPr>
        <w:tab/>
        <w:t xml:space="preserve">% Conc. </w:t>
      </w:r>
      <w:r w:rsidRPr="000142AA">
        <w:rPr>
          <w:lang w:val="fr-FR"/>
        </w:rPr>
        <w:tab/>
      </w:r>
      <w:r>
        <w:t xml:space="preserve">C.A.S. # </w:t>
      </w:r>
      <w:r>
        <w:tab/>
        <w:t xml:space="preserve">Ingredient </w:t>
      </w:r>
      <w:r>
        <w:tab/>
        <w:t xml:space="preserve">% Conc. </w:t>
      </w:r>
      <w:r>
        <w:tab/>
        <w:t xml:space="preserve">C.A.S. # Sodium </w:t>
      </w:r>
      <w:proofErr w:type="spellStart"/>
      <w:r>
        <w:t>Sulphite</w:t>
      </w:r>
      <w:proofErr w:type="spellEnd"/>
      <w:r>
        <w:t xml:space="preserve"> </w:t>
      </w:r>
      <w:r>
        <w:tab/>
        <w:t xml:space="preserve">5 - 15 </w:t>
      </w:r>
      <w:r>
        <w:tab/>
        <w:t xml:space="preserve">7757-83-7 </w:t>
      </w:r>
      <w:r>
        <w:tab/>
        <w:t xml:space="preserve"> </w:t>
      </w:r>
    </w:p>
    <w:p w14:paraId="4DFCF5AA" w14:textId="77777777" w:rsidR="007D33E1" w:rsidRDefault="00000000">
      <w:pPr>
        <w:spacing w:after="0" w:line="259" w:lineRule="auto"/>
        <w:ind w:left="0" w:firstLine="0"/>
      </w:pPr>
      <w:r>
        <w:rPr>
          <w:b/>
        </w:rPr>
        <w:t xml:space="preserve"> </w:t>
      </w:r>
    </w:p>
    <w:p w14:paraId="7C69593D" w14:textId="77777777" w:rsidR="007D33E1" w:rsidRDefault="00000000">
      <w:pPr>
        <w:pStyle w:val="Heading1"/>
        <w:ind w:left="-4"/>
      </w:pPr>
      <w:r>
        <w:t xml:space="preserve">Section 04: First Aid Measures </w:t>
      </w:r>
    </w:p>
    <w:p w14:paraId="70917B3C" w14:textId="77777777" w:rsidR="007D33E1" w:rsidRDefault="00000000">
      <w:pPr>
        <w:ind w:left="-3"/>
      </w:pPr>
      <w:r>
        <w:t xml:space="preserve">Skin: Flush skin thoroughly for at least 10 minutes. Remove contaminated clothing if necessary. Seek medical attention if irritation occurs or persists. Eyes: Flush eyes with running water for at least 10 minutes. Forcibly hold eyelids apart to ensure complete irrigation of eye tissue. Seek medical attention if irritation occurs or persists. Inhalation: Assist difficult breathing by removing casualty to fresh air.  Administer oxygen to casualty experiencing breathing difficulty. Perform artificial respiration if breathing stops. Seek medical attention </w:t>
      </w:r>
      <w:proofErr w:type="gramStart"/>
      <w:r>
        <w:t>if  breathing</w:t>
      </w:r>
      <w:proofErr w:type="gramEnd"/>
      <w:r>
        <w:t xml:space="preserve"> remains </w:t>
      </w:r>
      <w:proofErr w:type="spellStart"/>
      <w:r>
        <w:t>laboured</w:t>
      </w:r>
      <w:proofErr w:type="spellEnd"/>
      <w:r>
        <w:t xml:space="preserve"> or difficult. Ingestion: If swallowed, DO NOT induce vomiting.  Never give anything by mouth to an unconscious person. Seek medical attention immediately. </w:t>
      </w:r>
    </w:p>
    <w:p w14:paraId="1831933A" w14:textId="77777777" w:rsidR="007D33E1" w:rsidRDefault="00000000">
      <w:pPr>
        <w:spacing w:after="0" w:line="259" w:lineRule="auto"/>
        <w:ind w:left="1" w:firstLine="0"/>
      </w:pPr>
      <w:r>
        <w:rPr>
          <w:b/>
        </w:rPr>
        <w:t xml:space="preserve"> </w:t>
      </w:r>
    </w:p>
    <w:p w14:paraId="40E9D73C" w14:textId="77777777" w:rsidR="007D33E1" w:rsidRDefault="00000000">
      <w:pPr>
        <w:pStyle w:val="Heading1"/>
        <w:ind w:left="-4"/>
      </w:pPr>
      <w:r>
        <w:t xml:space="preserve">Section 05: Fire Fighting Measures </w:t>
      </w:r>
    </w:p>
    <w:p w14:paraId="65F2F75B" w14:textId="77777777" w:rsidR="007D33E1" w:rsidRDefault="00000000">
      <w:pPr>
        <w:ind w:left="-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6DE33DA" wp14:editId="75782EA6">
                <wp:simplePos x="0" y="0"/>
                <wp:positionH relativeFrom="page">
                  <wp:posOffset>7772400</wp:posOffset>
                </wp:positionH>
                <wp:positionV relativeFrom="page">
                  <wp:posOffset>4179296</wp:posOffset>
                </wp:positionV>
                <wp:extent cx="28369" cy="139378"/>
                <wp:effectExtent l="0" t="0" r="0" b="0"/>
                <wp:wrapSquare wrapText="bothSides"/>
                <wp:docPr id="3665" name="Group 3665"/>
                <wp:cNvGraphicFramePr/>
                <a:graphic xmlns:a="http://schemas.openxmlformats.org/drawingml/2006/main">
                  <a:graphicData uri="http://schemas.microsoft.com/office/word/2010/wordprocessingGroup">
                    <wpg:wgp>
                      <wpg:cNvGrpSpPr/>
                      <wpg:grpSpPr>
                        <a:xfrm>
                          <a:off x="0" y="0"/>
                          <a:ext cx="28369" cy="139378"/>
                          <a:chOff x="0" y="0"/>
                          <a:chExt cx="28369" cy="139378"/>
                        </a:xfrm>
                      </wpg:grpSpPr>
                      <wps:wsp>
                        <wps:cNvPr id="69" name="Rectangle 69"/>
                        <wps:cNvSpPr/>
                        <wps:spPr>
                          <a:xfrm>
                            <a:off x="0" y="0"/>
                            <a:ext cx="37731" cy="185372"/>
                          </a:xfrm>
                          <a:prstGeom prst="rect">
                            <a:avLst/>
                          </a:prstGeom>
                          <a:ln>
                            <a:noFill/>
                          </a:ln>
                        </wps:spPr>
                        <wps:txbx>
                          <w:txbxContent>
                            <w:p w14:paraId="36103D74" w14:textId="77777777" w:rsidR="007D33E1"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665" style="width:2.23376pt;height:10.9746pt;position:absolute;mso-position-horizontal-relative:page;mso-position-horizontal:absolute;margin-left:612pt;mso-position-vertical-relative:page;margin-top:329.078pt;" coordsize="283,1393">
                <v:rect id="Rectangle 69" style="position:absolute;width:377;height:1853;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t xml:space="preserve">Flammable: Non-Flammable If yes, under what conditions: Not Applicable Means of extinction: Standard procedure for chemical fires. Cool containers / tanks with water spray. Hazardous combustion products: May yield </w:t>
      </w:r>
      <w:proofErr w:type="spellStart"/>
      <w:r>
        <w:t>sulphur</w:t>
      </w:r>
      <w:proofErr w:type="spellEnd"/>
      <w:r>
        <w:t xml:space="preserve"> dioxide. Special protective equipment and precautions for firefighters: Standard equipment for chemical fires. </w:t>
      </w:r>
    </w:p>
    <w:p w14:paraId="350840BD" w14:textId="77777777" w:rsidR="007D33E1" w:rsidRDefault="00000000">
      <w:pPr>
        <w:spacing w:after="0" w:line="259" w:lineRule="auto"/>
        <w:ind w:left="1" w:firstLine="0"/>
      </w:pPr>
      <w:r>
        <w:rPr>
          <w:b/>
        </w:rPr>
        <w:t xml:space="preserve"> </w:t>
      </w:r>
    </w:p>
    <w:p w14:paraId="18A874F8" w14:textId="77777777" w:rsidR="007D33E1" w:rsidRDefault="00000000">
      <w:pPr>
        <w:pStyle w:val="Heading1"/>
        <w:ind w:left="-4"/>
      </w:pPr>
      <w:r>
        <w:t xml:space="preserve">Section 06: Accidental Release Measures </w:t>
      </w:r>
    </w:p>
    <w:p w14:paraId="119C0D90" w14:textId="77777777" w:rsidR="007D33E1" w:rsidRDefault="00000000">
      <w:pPr>
        <w:ind w:left="-3"/>
      </w:pPr>
      <w:r>
        <w:t xml:space="preserve">Personal precautions, protective equipment and emergency procedures: See Section 8. Environment precautions: Avoid entry of product into the sewage system or water streams. Methods and materials for containment and cleaning-up: Use appropriate tools to contain the spilled chemical, use absorbent material to absorb spilled chemical, dispose of absorbed material in a waste disposal container. </w:t>
      </w:r>
    </w:p>
    <w:p w14:paraId="2AC0FB05" w14:textId="77777777" w:rsidR="007D33E1" w:rsidRDefault="00000000">
      <w:pPr>
        <w:spacing w:after="0" w:line="259" w:lineRule="auto"/>
        <w:ind w:left="1" w:firstLine="0"/>
      </w:pPr>
      <w:r>
        <w:rPr>
          <w:b/>
        </w:rPr>
        <w:t xml:space="preserve"> </w:t>
      </w:r>
    </w:p>
    <w:p w14:paraId="486AC103" w14:textId="77777777" w:rsidR="007D33E1" w:rsidRDefault="00000000">
      <w:pPr>
        <w:pStyle w:val="Heading1"/>
        <w:ind w:left="-4"/>
      </w:pPr>
      <w:r>
        <w:t xml:space="preserve">Section 07: Handling and Storage </w:t>
      </w:r>
    </w:p>
    <w:p w14:paraId="427B73E5" w14:textId="77777777" w:rsidR="007D33E1" w:rsidRDefault="00000000">
      <w:pPr>
        <w:ind w:left="-3"/>
      </w:pPr>
      <w:r>
        <w:t xml:space="preserve">Precautions for safe handling: Open and handle container with care.  Do not eat, drink or smoke in the presence of open container.  Follow routine </w:t>
      </w:r>
      <w:proofErr w:type="spellStart"/>
      <w:r>
        <w:t>safehandling</w:t>
      </w:r>
      <w:proofErr w:type="spellEnd"/>
      <w:r>
        <w:t xml:space="preserve"> procedures.  Storage requirements: When not in use, keep container tightly closed in a dry, cool, well-ventilated area.  Avoid contact with incompatible materials listed in Section 10.  Store away from food, drink and ignition sources.  Empty containers can retain product residue and may be hazardous. </w:t>
      </w:r>
    </w:p>
    <w:p w14:paraId="1519EFEF" w14:textId="77777777" w:rsidR="007D33E1" w:rsidRDefault="00000000">
      <w:pPr>
        <w:spacing w:after="0" w:line="259" w:lineRule="auto"/>
        <w:ind w:left="1" w:firstLine="0"/>
      </w:pPr>
      <w:r>
        <w:rPr>
          <w:b/>
        </w:rPr>
        <w:t xml:space="preserve"> </w:t>
      </w:r>
    </w:p>
    <w:p w14:paraId="1F167234" w14:textId="77777777" w:rsidR="007D33E1" w:rsidRDefault="00000000">
      <w:pPr>
        <w:pStyle w:val="Heading1"/>
        <w:ind w:left="-4"/>
      </w:pPr>
      <w:r>
        <w:t xml:space="preserve">Section 08: Exposure Controls/Personal Protection </w:t>
      </w:r>
    </w:p>
    <w:p w14:paraId="3B27E838" w14:textId="77777777" w:rsidR="007D33E1" w:rsidRDefault="00000000">
      <w:pPr>
        <w:ind w:left="-3"/>
      </w:pPr>
      <w:r>
        <w:t xml:space="preserve">Note: These recommendations provide general guidelines for handling this product. Personal protective equipment should be selected according to individual application of the material, safe handling practices to consider </w:t>
      </w:r>
      <w:proofErr w:type="gramStart"/>
      <w:r>
        <w:t>include:</w:t>
      </w:r>
      <w:proofErr w:type="gramEnd"/>
      <w:r>
        <w:t xml:space="preserve"> exposure potential, chemical concentration and ventilation. It is ultimately the responsibility of the employer to follow regulatory guidelines established by local, provincial and federal authorities. </w:t>
      </w:r>
    </w:p>
    <w:p w14:paraId="05047015" w14:textId="77777777" w:rsidR="007D33E1" w:rsidRDefault="007D33E1">
      <w:pPr>
        <w:sectPr w:rsidR="007D33E1">
          <w:type w:val="continuous"/>
          <w:pgSz w:w="12240" w:h="15840"/>
          <w:pgMar w:top="244" w:right="717" w:bottom="946" w:left="720" w:header="720" w:footer="720" w:gutter="0"/>
          <w:cols w:space="720"/>
        </w:sectPr>
      </w:pPr>
    </w:p>
    <w:p w14:paraId="164C90E6" w14:textId="77777777" w:rsidR="007D33E1" w:rsidRDefault="00000000">
      <w:pPr>
        <w:ind w:left="-3"/>
      </w:pPr>
      <w:r>
        <w:t xml:space="preserve">Recommended Personal Protective Equipment: </w:t>
      </w:r>
    </w:p>
    <w:p w14:paraId="125F9509" w14:textId="77777777" w:rsidR="007D33E1" w:rsidRDefault="00000000">
      <w:pPr>
        <w:ind w:left="-3"/>
      </w:pPr>
      <w:r>
        <w:t xml:space="preserve">Gloves: PVC or Nitrile Rubber Respiratory: NIOSH approved respirator </w:t>
      </w:r>
    </w:p>
    <w:p w14:paraId="77E526B3" w14:textId="77777777" w:rsidR="007D33E1" w:rsidRDefault="00000000">
      <w:pPr>
        <w:ind w:left="-3"/>
      </w:pPr>
      <w:r>
        <w:t>(</w:t>
      </w:r>
      <w:proofErr w:type="gramStart"/>
      <w:r>
        <w:t>when</w:t>
      </w:r>
      <w:proofErr w:type="gramEnd"/>
      <w:r>
        <w:t xml:space="preserve"> fumes are present) Eye: Chemical goggles or face shield Footwear: Chemical resistant footwear </w:t>
      </w:r>
    </w:p>
    <w:p w14:paraId="2D0A9637" w14:textId="77777777" w:rsidR="007D33E1" w:rsidRDefault="00000000">
      <w:pPr>
        <w:spacing w:after="0" w:line="259" w:lineRule="auto"/>
        <w:ind w:left="2" w:firstLine="0"/>
      </w:pPr>
      <w:r>
        <w:rPr>
          <w:b/>
        </w:rPr>
        <w:t xml:space="preserve"> </w:t>
      </w:r>
    </w:p>
    <w:p w14:paraId="0A31991F" w14:textId="77777777" w:rsidR="007D33E1" w:rsidRDefault="00000000">
      <w:pPr>
        <w:ind w:left="-3" w:right="1590"/>
      </w:pPr>
      <w:r>
        <w:rPr>
          <w:b/>
        </w:rPr>
        <w:t xml:space="preserve">Section 09: Physical and Chemical Properties </w:t>
      </w:r>
      <w:r>
        <w:t xml:space="preserve">Physical State: Liquid Appearance: </w:t>
      </w:r>
      <w:proofErr w:type="spellStart"/>
      <w:r>
        <w:t>Colourless</w:t>
      </w:r>
      <w:proofErr w:type="spellEnd"/>
      <w:r>
        <w:t xml:space="preserve"> </w:t>
      </w:r>
      <w:proofErr w:type="spellStart"/>
      <w:r>
        <w:t>Odour</w:t>
      </w:r>
      <w:proofErr w:type="spellEnd"/>
      <w:r>
        <w:t xml:space="preserve">: Faint </w:t>
      </w:r>
      <w:proofErr w:type="spellStart"/>
      <w:r>
        <w:t>Odour</w:t>
      </w:r>
      <w:proofErr w:type="spellEnd"/>
      <w:r>
        <w:t xml:space="preserve"> threshold: Not Available pH @ 10%: 9.64 </w:t>
      </w:r>
    </w:p>
    <w:p w14:paraId="2BCBE546" w14:textId="77777777" w:rsidR="007D33E1" w:rsidRDefault="00000000">
      <w:pPr>
        <w:ind w:left="-3"/>
      </w:pPr>
      <w:r>
        <w:t xml:space="preserve">Melting point / Freezing point (°C): -2° C </w:t>
      </w:r>
    </w:p>
    <w:p w14:paraId="48276BF2" w14:textId="77777777" w:rsidR="007D33E1" w:rsidRDefault="00000000">
      <w:pPr>
        <w:ind w:left="-3" w:right="1553"/>
      </w:pPr>
      <w:r>
        <w:t>Initial boiling point and boiling range (°</w:t>
      </w:r>
      <w:proofErr w:type="gramStart"/>
      <w:r>
        <w:t>C):&gt;</w:t>
      </w:r>
      <w:proofErr w:type="gramEnd"/>
      <w:r>
        <w:t xml:space="preserve">100° C Flash point (°C): Not Applicable Evaporation rate: (water=1) &lt;1 </w:t>
      </w:r>
    </w:p>
    <w:p w14:paraId="2B6501A0" w14:textId="77777777" w:rsidR="007D33E1" w:rsidRDefault="00000000">
      <w:pPr>
        <w:ind w:left="-3"/>
      </w:pPr>
      <w:r>
        <w:t xml:space="preserve">Flammability: Non-Flammable </w:t>
      </w:r>
    </w:p>
    <w:p w14:paraId="5CFC2161" w14:textId="77777777" w:rsidR="007D33E1" w:rsidRDefault="00000000">
      <w:pPr>
        <w:ind w:left="-3"/>
      </w:pPr>
      <w:r>
        <w:t xml:space="preserve">Upper / Lower flammability or explosive limits: Not Applicable </w:t>
      </w:r>
    </w:p>
    <w:p w14:paraId="4F99604D" w14:textId="77777777" w:rsidR="007D33E1" w:rsidRDefault="00000000">
      <w:pPr>
        <w:ind w:left="-3"/>
      </w:pPr>
      <w:r>
        <w:t xml:space="preserve">Clothing: Cover exposed skin </w:t>
      </w:r>
    </w:p>
    <w:p w14:paraId="4A10508D" w14:textId="77777777" w:rsidR="007D33E1" w:rsidRDefault="00000000">
      <w:pPr>
        <w:ind w:left="-3"/>
      </w:pPr>
      <w:r>
        <w:t xml:space="preserve">Engineering controls: Local mechanical exhaust ventilation </w:t>
      </w:r>
    </w:p>
    <w:p w14:paraId="6EEEFE3F" w14:textId="77777777" w:rsidR="007D33E1" w:rsidRDefault="00000000">
      <w:pPr>
        <w:spacing w:after="359"/>
        <w:ind w:left="-3"/>
      </w:pPr>
      <w:r>
        <w:t xml:space="preserve">Other: Eyewash station and safety shower are proximal to workstation </w:t>
      </w:r>
    </w:p>
    <w:p w14:paraId="619CAC99" w14:textId="77777777" w:rsidR="007D33E1" w:rsidRDefault="00000000">
      <w:pPr>
        <w:ind w:left="-3"/>
      </w:pPr>
      <w:proofErr w:type="spellStart"/>
      <w:r>
        <w:t>Vapour</w:t>
      </w:r>
      <w:proofErr w:type="spellEnd"/>
      <w:r>
        <w:t xml:space="preserve"> pressure (mmHg): Not Available </w:t>
      </w:r>
    </w:p>
    <w:p w14:paraId="52965135" w14:textId="77777777" w:rsidR="007D33E1" w:rsidRDefault="00000000">
      <w:pPr>
        <w:ind w:left="-3"/>
      </w:pPr>
      <w:proofErr w:type="spellStart"/>
      <w:r>
        <w:t>Vapour</w:t>
      </w:r>
      <w:proofErr w:type="spellEnd"/>
      <w:r>
        <w:t xml:space="preserve"> density (Air=1): &lt;1 </w:t>
      </w:r>
    </w:p>
    <w:p w14:paraId="6BB6401C" w14:textId="77777777" w:rsidR="007D33E1" w:rsidRDefault="00000000">
      <w:pPr>
        <w:ind w:left="-3"/>
      </w:pPr>
      <w:r>
        <w:t xml:space="preserve">Relative density: Not Available </w:t>
      </w:r>
    </w:p>
    <w:p w14:paraId="49C6548D" w14:textId="77777777" w:rsidR="007D33E1" w:rsidRDefault="00000000">
      <w:pPr>
        <w:ind w:left="-3"/>
      </w:pPr>
      <w:r>
        <w:t xml:space="preserve">Solubility: Completely Soluble </w:t>
      </w:r>
    </w:p>
    <w:p w14:paraId="58A69218" w14:textId="77777777" w:rsidR="007D33E1" w:rsidRDefault="00000000">
      <w:pPr>
        <w:ind w:left="-3" w:right="363"/>
      </w:pPr>
      <w:r>
        <w:t xml:space="preserve">Partition coefficient: n-octanol/water: Not Applicable Auto-ignition temperature (°C): Not Applicable </w:t>
      </w:r>
    </w:p>
    <w:p w14:paraId="093F79A4" w14:textId="77777777" w:rsidR="007D33E1" w:rsidRDefault="00000000">
      <w:pPr>
        <w:ind w:left="-3"/>
      </w:pPr>
      <w:r>
        <w:t xml:space="preserve">Decomposition temperature: 900° C </w:t>
      </w:r>
    </w:p>
    <w:p w14:paraId="632A30AA" w14:textId="77777777" w:rsidR="007D33E1" w:rsidRDefault="00000000">
      <w:pPr>
        <w:ind w:left="-3"/>
      </w:pPr>
      <w:r>
        <w:t>Specific Gravity: 1.092</w:t>
      </w:r>
    </w:p>
    <w:tbl>
      <w:tblPr>
        <w:tblStyle w:val="TableGrid"/>
        <w:tblpPr w:vertAnchor="text" w:horzAnchor="margin"/>
        <w:tblOverlap w:val="never"/>
        <w:tblW w:w="10029" w:type="dxa"/>
        <w:tblInd w:w="0" w:type="dxa"/>
        <w:tblCellMar>
          <w:top w:w="0" w:type="dxa"/>
          <w:left w:w="0" w:type="dxa"/>
          <w:bottom w:w="0" w:type="dxa"/>
          <w:right w:w="0" w:type="dxa"/>
        </w:tblCellMar>
        <w:tblLook w:val="04A0" w:firstRow="1" w:lastRow="0" w:firstColumn="1" w:lastColumn="0" w:noHBand="0" w:noVBand="1"/>
      </w:tblPr>
      <w:tblGrid>
        <w:gridCol w:w="10029"/>
      </w:tblGrid>
      <w:tr w:rsidR="007D33E1" w14:paraId="64D9A4AA" w14:textId="77777777">
        <w:trPr>
          <w:trHeight w:val="8230"/>
        </w:trPr>
        <w:tc>
          <w:tcPr>
            <w:tcW w:w="10782" w:type="dxa"/>
            <w:tcBorders>
              <w:top w:val="nil"/>
              <w:left w:val="nil"/>
              <w:bottom w:val="nil"/>
              <w:right w:val="nil"/>
            </w:tcBorders>
          </w:tcPr>
          <w:p w14:paraId="6499CA6A" w14:textId="77777777" w:rsidR="007D33E1" w:rsidRDefault="00000000">
            <w:pPr>
              <w:spacing w:after="151" w:line="259" w:lineRule="auto"/>
              <w:ind w:left="2" w:firstLine="0"/>
            </w:pPr>
            <w:r>
              <w:lastRenderedPageBreak/>
              <w:t xml:space="preserve"> </w:t>
            </w:r>
          </w:p>
          <w:tbl>
            <w:tblPr>
              <w:tblStyle w:val="TableGrid"/>
              <w:tblpPr w:vertAnchor="text" w:tblpY="297"/>
              <w:tblOverlap w:val="never"/>
              <w:tblW w:w="10029" w:type="dxa"/>
              <w:tblInd w:w="0" w:type="dxa"/>
              <w:tblCellMar>
                <w:top w:w="0" w:type="dxa"/>
                <w:left w:w="0" w:type="dxa"/>
                <w:bottom w:w="0" w:type="dxa"/>
                <w:right w:w="0" w:type="dxa"/>
              </w:tblCellMar>
              <w:tblLook w:val="04A0" w:firstRow="1" w:lastRow="0" w:firstColumn="1" w:lastColumn="0" w:noHBand="0" w:noVBand="1"/>
            </w:tblPr>
            <w:tblGrid>
              <w:gridCol w:w="8640"/>
              <w:gridCol w:w="1389"/>
            </w:tblGrid>
            <w:tr w:rsidR="007D33E1" w14:paraId="7976EF8C" w14:textId="77777777">
              <w:trPr>
                <w:trHeight w:val="2095"/>
              </w:trPr>
              <w:tc>
                <w:tcPr>
                  <w:tcW w:w="8639" w:type="dxa"/>
                  <w:tcBorders>
                    <w:top w:val="nil"/>
                    <w:left w:val="nil"/>
                    <w:bottom w:val="nil"/>
                    <w:right w:val="nil"/>
                  </w:tcBorders>
                </w:tcPr>
                <w:p w14:paraId="7AF72A7B" w14:textId="77777777" w:rsidR="007D33E1" w:rsidRDefault="00000000">
                  <w:pPr>
                    <w:spacing w:after="0" w:line="259" w:lineRule="auto"/>
                    <w:ind w:left="2" w:firstLine="0"/>
                  </w:pPr>
                  <w:r>
                    <w:rPr>
                      <w:sz w:val="20"/>
                    </w:rPr>
                    <w:t xml:space="preserve"> </w:t>
                  </w:r>
                </w:p>
                <w:p w14:paraId="7725B90D" w14:textId="77777777" w:rsidR="007D33E1" w:rsidRDefault="00000000">
                  <w:pPr>
                    <w:spacing w:after="0" w:line="259" w:lineRule="auto"/>
                    <w:ind w:left="2" w:firstLine="0"/>
                  </w:pPr>
                  <w:r>
                    <w:rPr>
                      <w:b/>
                    </w:rPr>
                    <w:t xml:space="preserve">Section 10: Stability and Reactivity </w:t>
                  </w:r>
                </w:p>
                <w:p w14:paraId="7D391809" w14:textId="77777777" w:rsidR="007D33E1" w:rsidRDefault="00000000">
                  <w:pPr>
                    <w:spacing w:after="0" w:line="259" w:lineRule="auto"/>
                    <w:ind w:left="2" w:firstLine="0"/>
                  </w:pPr>
                  <w:r>
                    <w:t xml:space="preserve">Chemical stability under normal conditions: Stable. </w:t>
                  </w:r>
                </w:p>
                <w:p w14:paraId="125C1C44" w14:textId="77777777" w:rsidR="007D33E1" w:rsidRDefault="00000000">
                  <w:pPr>
                    <w:spacing w:after="0" w:line="259" w:lineRule="auto"/>
                    <w:ind w:left="2" w:firstLine="0"/>
                  </w:pPr>
                  <w:r>
                    <w:t xml:space="preserve">If no, under what conditions: Avoid moisture and elevated temperatures. </w:t>
                  </w:r>
                </w:p>
                <w:p w14:paraId="72B50E14" w14:textId="77777777" w:rsidR="007D33E1" w:rsidRDefault="00000000">
                  <w:pPr>
                    <w:spacing w:after="0" w:line="259" w:lineRule="auto"/>
                    <w:ind w:left="2" w:firstLine="0"/>
                  </w:pPr>
                  <w:r>
                    <w:t xml:space="preserve">Possibility of hazardous reactions: Normally stable. </w:t>
                  </w:r>
                </w:p>
                <w:p w14:paraId="26EA0A01" w14:textId="77777777" w:rsidR="007D33E1" w:rsidRDefault="00000000">
                  <w:pPr>
                    <w:spacing w:after="0" w:line="259" w:lineRule="auto"/>
                    <w:ind w:left="2" w:firstLine="0"/>
                  </w:pPr>
                  <w:r>
                    <w:t xml:space="preserve">Incompatible materials: Avoid contact with acids or strong oxidizers. </w:t>
                  </w:r>
                </w:p>
                <w:p w14:paraId="7B8EA233" w14:textId="77777777" w:rsidR="007D33E1" w:rsidRDefault="00000000">
                  <w:pPr>
                    <w:spacing w:after="0" w:line="240" w:lineRule="auto"/>
                    <w:ind w:left="2" w:right="597" w:firstLine="0"/>
                  </w:pPr>
                  <w:r>
                    <w:t xml:space="preserve">Reactivity and under what conditions: Contact with strong oxidizers can cause an exothermic reaction. Hazardous decomposition products: Contact with acid releases </w:t>
                  </w:r>
                  <w:proofErr w:type="spellStart"/>
                  <w:r>
                    <w:t>sulphur</w:t>
                  </w:r>
                  <w:proofErr w:type="spellEnd"/>
                  <w:r>
                    <w:t xml:space="preserve"> dioxide gas.  </w:t>
                  </w:r>
                </w:p>
                <w:p w14:paraId="29F17690" w14:textId="77777777" w:rsidR="007D33E1" w:rsidRDefault="00000000">
                  <w:pPr>
                    <w:spacing w:after="0" w:line="259" w:lineRule="auto"/>
                    <w:ind w:left="2" w:firstLine="0"/>
                  </w:pPr>
                  <w:r>
                    <w:rPr>
                      <w:b/>
                    </w:rPr>
                    <w:t xml:space="preserve"> </w:t>
                  </w:r>
                </w:p>
                <w:p w14:paraId="2F5E4BDA" w14:textId="77777777" w:rsidR="007D33E1" w:rsidRDefault="00000000">
                  <w:pPr>
                    <w:spacing w:after="0" w:line="259" w:lineRule="auto"/>
                    <w:ind w:left="2" w:firstLine="0"/>
                  </w:pPr>
                  <w:r>
                    <w:rPr>
                      <w:b/>
                    </w:rPr>
                    <w:t xml:space="preserve"> </w:t>
                  </w:r>
                </w:p>
                <w:p w14:paraId="4F90C65B" w14:textId="77777777" w:rsidR="007D33E1" w:rsidRDefault="00000000">
                  <w:pPr>
                    <w:spacing w:after="0" w:line="259" w:lineRule="auto"/>
                    <w:ind w:left="2" w:firstLine="0"/>
                  </w:pPr>
                  <w:r>
                    <w:rPr>
                      <w:b/>
                    </w:rPr>
                    <w:t xml:space="preserve">Section 11: Toxicological Information </w:t>
                  </w:r>
                </w:p>
              </w:tc>
              <w:tc>
                <w:tcPr>
                  <w:tcW w:w="1389" w:type="dxa"/>
                  <w:tcBorders>
                    <w:top w:val="nil"/>
                    <w:left w:val="nil"/>
                    <w:bottom w:val="nil"/>
                    <w:right w:val="nil"/>
                  </w:tcBorders>
                </w:tcPr>
                <w:p w14:paraId="00167AF0" w14:textId="77777777" w:rsidR="007D33E1" w:rsidRDefault="007D33E1">
                  <w:pPr>
                    <w:spacing w:after="160" w:line="259" w:lineRule="auto"/>
                    <w:ind w:left="0" w:firstLine="0"/>
                  </w:pPr>
                </w:p>
              </w:tc>
            </w:tr>
            <w:tr w:rsidR="007D33E1" w14:paraId="23E62FC6" w14:textId="77777777">
              <w:trPr>
                <w:trHeight w:val="184"/>
              </w:trPr>
              <w:tc>
                <w:tcPr>
                  <w:tcW w:w="8639" w:type="dxa"/>
                  <w:tcBorders>
                    <w:top w:val="nil"/>
                    <w:left w:val="nil"/>
                    <w:bottom w:val="nil"/>
                    <w:right w:val="nil"/>
                  </w:tcBorders>
                </w:tcPr>
                <w:p w14:paraId="62D0CE10" w14:textId="77777777" w:rsidR="007D33E1" w:rsidRDefault="00000000">
                  <w:pPr>
                    <w:tabs>
                      <w:tab w:val="center" w:pos="4778"/>
                      <w:tab w:val="center" w:pos="6868"/>
                    </w:tabs>
                    <w:spacing w:after="0" w:line="259" w:lineRule="auto"/>
                    <w:ind w:left="0" w:firstLine="0"/>
                  </w:pPr>
                  <w:r>
                    <w:rPr>
                      <w:b/>
                    </w:rPr>
                    <w:t xml:space="preserve">Hazardous Ingredients (Section 3): </w:t>
                  </w:r>
                  <w:r>
                    <w:rPr>
                      <w:b/>
                    </w:rPr>
                    <w:tab/>
                    <w:t xml:space="preserve">LD50, (Oral) </w:t>
                  </w:r>
                  <w:r>
                    <w:rPr>
                      <w:b/>
                    </w:rPr>
                    <w:tab/>
                    <w:t xml:space="preserve">LD50, (Dermal) </w:t>
                  </w:r>
                </w:p>
              </w:tc>
              <w:tc>
                <w:tcPr>
                  <w:tcW w:w="1389" w:type="dxa"/>
                  <w:tcBorders>
                    <w:top w:val="nil"/>
                    <w:left w:val="nil"/>
                    <w:bottom w:val="nil"/>
                    <w:right w:val="nil"/>
                  </w:tcBorders>
                </w:tcPr>
                <w:p w14:paraId="7F7E1B31" w14:textId="77777777" w:rsidR="007D33E1" w:rsidRDefault="00000000">
                  <w:pPr>
                    <w:spacing w:after="0" w:line="259" w:lineRule="auto"/>
                    <w:ind w:left="3" w:firstLine="0"/>
                    <w:jc w:val="both"/>
                  </w:pPr>
                  <w:r>
                    <w:rPr>
                      <w:b/>
                    </w:rPr>
                    <w:t xml:space="preserve">LC50, (Inhalation) </w:t>
                  </w:r>
                </w:p>
              </w:tc>
            </w:tr>
            <w:tr w:rsidR="007D33E1" w14:paraId="0BD86E59" w14:textId="77777777">
              <w:trPr>
                <w:trHeight w:val="184"/>
              </w:trPr>
              <w:tc>
                <w:tcPr>
                  <w:tcW w:w="8639" w:type="dxa"/>
                  <w:tcBorders>
                    <w:top w:val="nil"/>
                    <w:left w:val="nil"/>
                    <w:bottom w:val="nil"/>
                    <w:right w:val="nil"/>
                  </w:tcBorders>
                </w:tcPr>
                <w:p w14:paraId="50C373E7" w14:textId="77777777" w:rsidR="007D33E1" w:rsidRDefault="00000000">
                  <w:pPr>
                    <w:tabs>
                      <w:tab w:val="center" w:pos="4898"/>
                      <w:tab w:val="center" w:pos="6302"/>
                    </w:tabs>
                    <w:spacing w:after="0" w:line="259" w:lineRule="auto"/>
                    <w:ind w:left="0" w:firstLine="0"/>
                  </w:pPr>
                  <w:r>
                    <w:t xml:space="preserve">Sodium </w:t>
                  </w:r>
                  <w:proofErr w:type="spellStart"/>
                  <w:r>
                    <w:t>Sulphite</w:t>
                  </w:r>
                  <w:proofErr w:type="spellEnd"/>
                  <w:r>
                    <w:rPr>
                      <w:b/>
                    </w:rPr>
                    <w:t xml:space="preserve"> </w:t>
                  </w:r>
                  <w:r>
                    <w:rPr>
                      <w:b/>
                    </w:rPr>
                    <w:tab/>
                  </w:r>
                  <w:r>
                    <w:t>820 mg/kg (Rat)</w:t>
                  </w:r>
                  <w:r>
                    <w:rPr>
                      <w:b/>
                    </w:rPr>
                    <w:t xml:space="preserve"> </w:t>
                  </w:r>
                  <w:r>
                    <w:rPr>
                      <w:b/>
                    </w:rPr>
                    <w:tab/>
                    <w:t xml:space="preserve">      </w:t>
                  </w:r>
                </w:p>
              </w:tc>
              <w:tc>
                <w:tcPr>
                  <w:tcW w:w="1389" w:type="dxa"/>
                  <w:tcBorders>
                    <w:top w:val="nil"/>
                    <w:left w:val="nil"/>
                    <w:bottom w:val="nil"/>
                    <w:right w:val="nil"/>
                  </w:tcBorders>
                </w:tcPr>
                <w:p w14:paraId="75424EDD" w14:textId="77777777" w:rsidR="007D33E1" w:rsidRDefault="00000000">
                  <w:pPr>
                    <w:spacing w:after="0" w:line="259" w:lineRule="auto"/>
                    <w:ind w:left="3" w:firstLine="0"/>
                  </w:pPr>
                  <w:r>
                    <w:rPr>
                      <w:b/>
                    </w:rPr>
                    <w:t xml:space="preserve">      </w:t>
                  </w:r>
                </w:p>
              </w:tc>
            </w:tr>
            <w:tr w:rsidR="007D33E1" w14:paraId="6B44E34E" w14:textId="77777777">
              <w:trPr>
                <w:trHeight w:val="185"/>
              </w:trPr>
              <w:tc>
                <w:tcPr>
                  <w:tcW w:w="8639" w:type="dxa"/>
                  <w:tcBorders>
                    <w:top w:val="nil"/>
                    <w:left w:val="nil"/>
                    <w:bottom w:val="nil"/>
                    <w:right w:val="nil"/>
                  </w:tcBorders>
                </w:tcPr>
                <w:p w14:paraId="090DFBC4" w14:textId="77777777" w:rsidR="007D33E1" w:rsidRDefault="00000000">
                  <w:pPr>
                    <w:spacing w:after="0" w:line="259" w:lineRule="auto"/>
                    <w:ind w:left="2" w:firstLine="0"/>
                  </w:pPr>
                  <w:r>
                    <w:rPr>
                      <w:b/>
                    </w:rPr>
                    <w:t xml:space="preserve">      </w:t>
                  </w:r>
                  <w:r>
                    <w:rPr>
                      <w:b/>
                    </w:rPr>
                    <w:tab/>
                    <w:t xml:space="preserve">      </w:t>
                  </w:r>
                  <w:r>
                    <w:rPr>
                      <w:b/>
                    </w:rPr>
                    <w:tab/>
                    <w:t xml:space="preserve">      </w:t>
                  </w:r>
                </w:p>
              </w:tc>
              <w:tc>
                <w:tcPr>
                  <w:tcW w:w="1389" w:type="dxa"/>
                  <w:tcBorders>
                    <w:top w:val="nil"/>
                    <w:left w:val="nil"/>
                    <w:bottom w:val="nil"/>
                    <w:right w:val="nil"/>
                  </w:tcBorders>
                </w:tcPr>
                <w:p w14:paraId="788040DA" w14:textId="77777777" w:rsidR="007D33E1" w:rsidRDefault="00000000">
                  <w:pPr>
                    <w:spacing w:after="0" w:line="259" w:lineRule="auto"/>
                    <w:ind w:left="2" w:firstLine="0"/>
                  </w:pPr>
                  <w:r>
                    <w:rPr>
                      <w:b/>
                    </w:rPr>
                    <w:t xml:space="preserve">      </w:t>
                  </w:r>
                </w:p>
              </w:tc>
            </w:tr>
            <w:tr w:rsidR="007D33E1" w14:paraId="1D96F875" w14:textId="77777777">
              <w:trPr>
                <w:trHeight w:val="184"/>
              </w:trPr>
              <w:tc>
                <w:tcPr>
                  <w:tcW w:w="8639" w:type="dxa"/>
                  <w:tcBorders>
                    <w:top w:val="nil"/>
                    <w:left w:val="nil"/>
                    <w:bottom w:val="nil"/>
                    <w:right w:val="nil"/>
                  </w:tcBorders>
                </w:tcPr>
                <w:p w14:paraId="4CD107C5" w14:textId="77777777" w:rsidR="007D33E1" w:rsidRDefault="00000000">
                  <w:pPr>
                    <w:spacing w:after="0" w:line="259" w:lineRule="auto"/>
                    <w:ind w:left="1" w:firstLine="0"/>
                  </w:pPr>
                  <w:r>
                    <w:rPr>
                      <w:b/>
                    </w:rPr>
                    <w:t xml:space="preserve">      </w:t>
                  </w:r>
                  <w:r>
                    <w:rPr>
                      <w:b/>
                    </w:rPr>
                    <w:tab/>
                    <w:t xml:space="preserve">      </w:t>
                  </w:r>
                  <w:r>
                    <w:rPr>
                      <w:b/>
                    </w:rPr>
                    <w:tab/>
                    <w:t xml:space="preserve">      </w:t>
                  </w:r>
                </w:p>
              </w:tc>
              <w:tc>
                <w:tcPr>
                  <w:tcW w:w="1389" w:type="dxa"/>
                  <w:tcBorders>
                    <w:top w:val="nil"/>
                    <w:left w:val="nil"/>
                    <w:bottom w:val="nil"/>
                    <w:right w:val="nil"/>
                  </w:tcBorders>
                </w:tcPr>
                <w:p w14:paraId="0A23E1B8" w14:textId="77777777" w:rsidR="007D33E1" w:rsidRDefault="00000000">
                  <w:pPr>
                    <w:spacing w:after="0" w:line="259" w:lineRule="auto"/>
                    <w:ind w:left="1" w:firstLine="0"/>
                  </w:pPr>
                  <w:r>
                    <w:rPr>
                      <w:b/>
                    </w:rPr>
                    <w:t xml:space="preserve">      </w:t>
                  </w:r>
                </w:p>
              </w:tc>
            </w:tr>
            <w:tr w:rsidR="007D33E1" w14:paraId="1B14EECE" w14:textId="77777777">
              <w:trPr>
                <w:trHeight w:val="206"/>
              </w:trPr>
              <w:tc>
                <w:tcPr>
                  <w:tcW w:w="8639" w:type="dxa"/>
                  <w:tcBorders>
                    <w:top w:val="nil"/>
                    <w:left w:val="nil"/>
                    <w:bottom w:val="nil"/>
                    <w:right w:val="nil"/>
                  </w:tcBorders>
                </w:tcPr>
                <w:p w14:paraId="43C66537" w14:textId="77777777" w:rsidR="007D33E1" w:rsidRDefault="00000000">
                  <w:pPr>
                    <w:spacing w:after="0" w:line="259" w:lineRule="auto"/>
                    <w:ind w:left="0" w:firstLine="0"/>
                  </w:pPr>
                  <w:r>
                    <w:rPr>
                      <w:b/>
                    </w:rPr>
                    <w:t xml:space="preserve">      </w:t>
                  </w:r>
                  <w:r>
                    <w:rPr>
                      <w:b/>
                    </w:rPr>
                    <w:tab/>
                    <w:t xml:space="preserve">      </w:t>
                  </w:r>
                  <w:r>
                    <w:rPr>
                      <w:b/>
                    </w:rPr>
                    <w:tab/>
                    <w:t xml:space="preserve">      </w:t>
                  </w:r>
                </w:p>
              </w:tc>
              <w:tc>
                <w:tcPr>
                  <w:tcW w:w="1389" w:type="dxa"/>
                  <w:tcBorders>
                    <w:top w:val="nil"/>
                    <w:left w:val="nil"/>
                    <w:bottom w:val="nil"/>
                    <w:right w:val="nil"/>
                  </w:tcBorders>
                </w:tcPr>
                <w:p w14:paraId="2D25B81D" w14:textId="77777777" w:rsidR="007D33E1" w:rsidRDefault="00000000">
                  <w:pPr>
                    <w:spacing w:after="0" w:line="259" w:lineRule="auto"/>
                    <w:ind w:left="0" w:firstLine="0"/>
                  </w:pPr>
                  <w:r>
                    <w:rPr>
                      <w:b/>
                    </w:rPr>
                    <w:t xml:space="preserve">      </w:t>
                  </w:r>
                </w:p>
              </w:tc>
            </w:tr>
          </w:tbl>
          <w:p w14:paraId="0D1A0624" w14:textId="4C605A1C" w:rsidR="007D33E1" w:rsidRDefault="007D33E1" w:rsidP="000142AA">
            <w:pPr>
              <w:spacing w:after="2795" w:line="259" w:lineRule="auto"/>
              <w:ind w:left="0" w:right="-662" w:firstLine="0"/>
            </w:pPr>
          </w:p>
          <w:p w14:paraId="3A6A5A7C" w14:textId="77777777" w:rsidR="007D33E1" w:rsidRDefault="00000000">
            <w:pPr>
              <w:spacing w:after="0" w:line="259" w:lineRule="auto"/>
              <w:ind w:left="-1" w:firstLine="0"/>
            </w:pPr>
            <w:r>
              <w:rPr>
                <w:b/>
              </w:rPr>
              <w:t xml:space="preserve"> </w:t>
            </w:r>
          </w:p>
          <w:p w14:paraId="1D1E24DC" w14:textId="77777777" w:rsidR="007D33E1" w:rsidRDefault="00000000">
            <w:pPr>
              <w:tabs>
                <w:tab w:val="center" w:pos="1439"/>
                <w:tab w:val="center" w:pos="2159"/>
                <w:tab w:val="center" w:pos="2879"/>
                <w:tab w:val="center" w:pos="3805"/>
                <w:tab w:val="center" w:pos="4319"/>
                <w:tab w:val="center" w:pos="5039"/>
                <w:tab w:val="center" w:pos="5760"/>
                <w:tab w:val="center" w:pos="6480"/>
                <w:tab w:val="center" w:pos="7475"/>
              </w:tabs>
              <w:spacing w:after="0" w:line="259" w:lineRule="auto"/>
              <w:ind w:left="-1" w:firstLine="0"/>
            </w:pPr>
            <w:proofErr w:type="gramStart"/>
            <w:r>
              <w:t xml:space="preserve">Exposure  </w:t>
            </w:r>
            <w:r>
              <w:tab/>
            </w:r>
            <w:proofErr w:type="gramEnd"/>
            <w:r>
              <w:t xml:space="preserve"> </w:t>
            </w:r>
            <w:r>
              <w:tab/>
              <w:t xml:space="preserve"> </w:t>
            </w:r>
            <w:r>
              <w:tab/>
              <w:t xml:space="preserve"> </w:t>
            </w:r>
            <w:r>
              <w:tab/>
              <w:t xml:space="preserve">Acute </w:t>
            </w:r>
            <w:r>
              <w:tab/>
              <w:t xml:space="preserve"> </w:t>
            </w:r>
            <w:r>
              <w:tab/>
              <w:t xml:space="preserve"> </w:t>
            </w:r>
            <w:r>
              <w:tab/>
              <w:t xml:space="preserve"> </w:t>
            </w:r>
            <w:r>
              <w:tab/>
              <w:t xml:space="preserve"> </w:t>
            </w:r>
            <w:r>
              <w:tab/>
              <w:t>Chronic</w:t>
            </w:r>
          </w:p>
          <w:p w14:paraId="2878CF49" w14:textId="77777777" w:rsidR="007D33E1" w:rsidRDefault="00000000">
            <w:pPr>
              <w:spacing w:after="0" w:line="240" w:lineRule="auto"/>
              <w:ind w:left="0" w:right="-428" w:firstLine="0"/>
              <w:jc w:val="right"/>
            </w:pPr>
            <w:r>
              <w:t xml:space="preserve">Skin Contact (Absorption – Yes) </w:t>
            </w:r>
            <w:r>
              <w:tab/>
              <w:t xml:space="preserve"> May be irritating and cause skin drying and cracking.  </w:t>
            </w:r>
            <w:r>
              <w:tab/>
              <w:t xml:space="preserve">Prolonged or repeated contact may cause severe irritation, defatting of the skin or dermatitis. </w:t>
            </w:r>
          </w:p>
          <w:p w14:paraId="3DB4E24F" w14:textId="77777777" w:rsidR="007D33E1" w:rsidRDefault="00000000">
            <w:pPr>
              <w:tabs>
                <w:tab w:val="center" w:pos="3171"/>
                <w:tab w:val="center" w:pos="6960"/>
              </w:tabs>
              <w:spacing w:after="14" w:line="259" w:lineRule="auto"/>
              <w:ind w:left="0" w:firstLine="0"/>
            </w:pPr>
            <w:r>
              <w:t xml:space="preserve">Eye </w:t>
            </w:r>
            <w:r>
              <w:tab/>
              <w:t xml:space="preserve"> Irritant. </w:t>
            </w:r>
            <w:r>
              <w:tab/>
              <w:t xml:space="preserve"> </w:t>
            </w:r>
          </w:p>
          <w:p w14:paraId="5F5AD2C7" w14:textId="77777777" w:rsidR="007D33E1" w:rsidRDefault="00000000">
            <w:pPr>
              <w:spacing w:after="0" w:line="240" w:lineRule="auto"/>
              <w:ind w:left="2899" w:right="2170" w:hanging="2897"/>
            </w:pPr>
            <w:r>
              <w:t xml:space="preserve">Inhalation (in the presence of mist) </w:t>
            </w:r>
            <w:r>
              <w:tab/>
              <w:t xml:space="preserve"> Contact with an acid releases </w:t>
            </w:r>
            <w:proofErr w:type="spellStart"/>
            <w:r>
              <w:t>sulphur</w:t>
            </w:r>
            <w:proofErr w:type="spellEnd"/>
            <w:r>
              <w:t xml:space="preserve"> dioxide gas, </w:t>
            </w:r>
            <w:r>
              <w:tab/>
              <w:t xml:space="preserve">      which is harmful or deadly when inhaled. </w:t>
            </w:r>
          </w:p>
          <w:p w14:paraId="3A551394" w14:textId="77777777" w:rsidR="007D33E1" w:rsidRDefault="00000000">
            <w:pPr>
              <w:spacing w:after="2" w:line="237" w:lineRule="auto"/>
              <w:ind w:left="2899" w:hanging="2897"/>
            </w:pPr>
            <w:r>
              <w:t xml:space="preserve">Ingestion </w:t>
            </w:r>
            <w:r>
              <w:tab/>
              <w:t xml:space="preserve">Swallowing will produce a gastrointestinal irritation, </w:t>
            </w:r>
            <w:r>
              <w:tab/>
              <w:t xml:space="preserve">Harmful when large volume is ingested. nausea, vomiting and diarrhea.   </w:t>
            </w:r>
          </w:p>
          <w:p w14:paraId="6CDCF532" w14:textId="77777777" w:rsidR="007D33E1" w:rsidRDefault="00000000">
            <w:pPr>
              <w:spacing w:after="0" w:line="259" w:lineRule="auto"/>
              <w:ind w:left="2" w:firstLine="0"/>
            </w:pPr>
            <w:r>
              <w:t xml:space="preserve"> </w:t>
            </w:r>
          </w:p>
          <w:p w14:paraId="73B77699" w14:textId="77777777" w:rsidR="007D33E1" w:rsidRDefault="00000000">
            <w:pPr>
              <w:spacing w:after="0" w:line="259" w:lineRule="auto"/>
              <w:ind w:left="2" w:firstLine="0"/>
            </w:pPr>
            <w:r>
              <w:t xml:space="preserve">Note: </w:t>
            </w:r>
            <w:proofErr w:type="spellStart"/>
            <w:r>
              <w:t>Sulphite</w:t>
            </w:r>
            <w:proofErr w:type="spellEnd"/>
            <w:r>
              <w:t xml:space="preserve"> sensitive individuals may experience a severe allergic reaction. </w:t>
            </w:r>
          </w:p>
          <w:p w14:paraId="604DBA1A" w14:textId="77777777" w:rsidR="007D33E1" w:rsidRDefault="00000000">
            <w:pPr>
              <w:spacing w:after="0" w:line="259" w:lineRule="auto"/>
              <w:ind w:left="2" w:firstLine="0"/>
            </w:pPr>
            <w:r>
              <w:t xml:space="preserve"> </w:t>
            </w:r>
          </w:p>
          <w:p w14:paraId="20E94E4A" w14:textId="77777777" w:rsidR="007D33E1" w:rsidRDefault="00000000">
            <w:pPr>
              <w:spacing w:after="0" w:line="259" w:lineRule="auto"/>
              <w:ind w:left="2" w:firstLine="0"/>
            </w:pPr>
            <w:r>
              <w:t xml:space="preserve">Teratogenicity: Not Available </w:t>
            </w:r>
          </w:p>
          <w:p w14:paraId="316D345E" w14:textId="77777777" w:rsidR="007D33E1" w:rsidRDefault="00000000">
            <w:pPr>
              <w:spacing w:after="0" w:line="259" w:lineRule="auto"/>
              <w:ind w:left="2" w:firstLine="0"/>
            </w:pPr>
            <w:r>
              <w:t xml:space="preserve">Reproductive toxicity: Not Available </w:t>
            </w:r>
          </w:p>
          <w:p w14:paraId="457EB890" w14:textId="77777777" w:rsidR="007D33E1" w:rsidRDefault="00000000">
            <w:pPr>
              <w:spacing w:after="0" w:line="259" w:lineRule="auto"/>
              <w:ind w:left="2" w:firstLine="0"/>
            </w:pPr>
            <w:r>
              <w:t xml:space="preserve">Mutagenicity: Not Available </w:t>
            </w:r>
          </w:p>
          <w:p w14:paraId="297B51EB" w14:textId="77777777" w:rsidR="007D33E1" w:rsidRDefault="00000000">
            <w:pPr>
              <w:spacing w:after="0" w:line="240" w:lineRule="auto"/>
              <w:ind w:left="2" w:right="-248" w:firstLine="0"/>
            </w:pPr>
            <w:r>
              <w:t>Carcinogenicity: This product does not contain ingredients considered carcinogenic, by the National toxicity Program, the International Agency for Research on Cancer, or the Occupational Safety and Health Administration.</w:t>
            </w:r>
          </w:p>
          <w:p w14:paraId="7B026388" w14:textId="77777777" w:rsidR="007D33E1" w:rsidRDefault="00000000">
            <w:pPr>
              <w:spacing w:after="0" w:line="259" w:lineRule="auto"/>
              <w:ind w:left="2" w:firstLine="0"/>
            </w:pPr>
            <w:r>
              <w:t xml:space="preserve"> </w:t>
            </w:r>
          </w:p>
          <w:p w14:paraId="25B15D55" w14:textId="77777777" w:rsidR="007D33E1" w:rsidRDefault="00000000">
            <w:pPr>
              <w:spacing w:after="0" w:line="259" w:lineRule="auto"/>
              <w:ind w:left="2" w:firstLine="0"/>
            </w:pPr>
            <w:r>
              <w:rPr>
                <w:b/>
              </w:rPr>
              <w:t xml:space="preserve">Section 12: Ecological Consideration </w:t>
            </w:r>
          </w:p>
          <w:p w14:paraId="20564259" w14:textId="77777777" w:rsidR="007D33E1" w:rsidRDefault="00000000">
            <w:pPr>
              <w:tabs>
                <w:tab w:val="center" w:pos="6777"/>
              </w:tabs>
              <w:spacing w:after="0" w:line="259" w:lineRule="auto"/>
              <w:ind w:left="0" w:firstLine="0"/>
            </w:pPr>
            <w:r>
              <w:t xml:space="preserve">Ecotoxicity (aquatic and terrestrial): Not Available </w:t>
            </w:r>
            <w:r>
              <w:tab/>
              <w:t xml:space="preserve">Mobility in soil: Not Available </w:t>
            </w:r>
          </w:p>
          <w:p w14:paraId="283C1A37" w14:textId="77777777" w:rsidR="007D33E1" w:rsidRDefault="00000000">
            <w:pPr>
              <w:tabs>
                <w:tab w:val="center" w:pos="7043"/>
              </w:tabs>
              <w:spacing w:after="0" w:line="259" w:lineRule="auto"/>
              <w:ind w:left="0" w:firstLine="0"/>
            </w:pPr>
            <w:proofErr w:type="spellStart"/>
            <w:r>
              <w:t>Persistance</w:t>
            </w:r>
            <w:proofErr w:type="spellEnd"/>
            <w:r>
              <w:t xml:space="preserve"> and degradability: Not Available </w:t>
            </w:r>
            <w:r>
              <w:tab/>
              <w:t>Other adverse effects: Not Available</w:t>
            </w:r>
          </w:p>
          <w:p w14:paraId="24C66734" w14:textId="77777777" w:rsidR="007D33E1" w:rsidRDefault="00000000">
            <w:pPr>
              <w:spacing w:after="0" w:line="259" w:lineRule="auto"/>
              <w:ind w:left="2" w:firstLine="0"/>
            </w:pPr>
            <w:proofErr w:type="spellStart"/>
            <w:r>
              <w:t>Bioaccummulative</w:t>
            </w:r>
            <w:proofErr w:type="spellEnd"/>
            <w:r>
              <w:t xml:space="preserve"> potential: Not Available </w:t>
            </w:r>
          </w:p>
          <w:p w14:paraId="6A720AB5" w14:textId="77777777" w:rsidR="007D33E1" w:rsidRDefault="00000000">
            <w:pPr>
              <w:spacing w:after="0" w:line="259" w:lineRule="auto"/>
              <w:ind w:left="2" w:firstLine="0"/>
            </w:pPr>
            <w:r>
              <w:t xml:space="preserve"> </w:t>
            </w:r>
          </w:p>
          <w:p w14:paraId="3411B345" w14:textId="77777777" w:rsidR="007D33E1" w:rsidRDefault="00000000">
            <w:pPr>
              <w:spacing w:after="0" w:line="259" w:lineRule="auto"/>
              <w:ind w:left="2" w:firstLine="0"/>
            </w:pPr>
            <w:r>
              <w:rPr>
                <w:b/>
              </w:rPr>
              <w:t xml:space="preserve">Section 13: Disposal Considerations </w:t>
            </w:r>
          </w:p>
          <w:p w14:paraId="26173F07" w14:textId="77777777" w:rsidR="007D33E1" w:rsidRDefault="00000000">
            <w:pPr>
              <w:spacing w:after="0" w:line="259" w:lineRule="auto"/>
              <w:ind w:left="2" w:firstLine="0"/>
            </w:pPr>
            <w:r>
              <w:t xml:space="preserve">Waste Disposal: Dispose of this material and its container in accordance with local, provincial and federal regulations. </w:t>
            </w:r>
          </w:p>
        </w:tc>
      </w:tr>
    </w:tbl>
    <w:p w14:paraId="0C8F05A6" w14:textId="77777777" w:rsidR="007D33E1" w:rsidRDefault="00000000">
      <w:pPr>
        <w:spacing w:after="0" w:line="259" w:lineRule="auto"/>
        <w:ind w:left="0" w:firstLine="0"/>
      </w:pPr>
      <w:r>
        <w:t xml:space="preserve"> </w:t>
      </w:r>
    </w:p>
    <w:p w14:paraId="65D85664" w14:textId="77777777" w:rsidR="007D33E1" w:rsidRDefault="00000000">
      <w:pPr>
        <w:pStyle w:val="Heading1"/>
        <w:ind w:left="-4"/>
      </w:pPr>
      <w:r>
        <w:t xml:space="preserve">Section 14: Transport Information </w:t>
      </w:r>
    </w:p>
    <w:p w14:paraId="37773729" w14:textId="77777777" w:rsidR="007D33E1" w:rsidRDefault="00000000">
      <w:pPr>
        <w:ind w:left="-3"/>
      </w:pPr>
      <w:r>
        <w:t xml:space="preserve">UN Number: Not Applicable </w:t>
      </w:r>
    </w:p>
    <w:p w14:paraId="738BEAE5" w14:textId="77777777" w:rsidR="007D33E1" w:rsidRDefault="00000000">
      <w:pPr>
        <w:ind w:left="-3"/>
      </w:pPr>
      <w:r>
        <w:t xml:space="preserve">Shipping Name: Not applicable </w:t>
      </w:r>
    </w:p>
    <w:p w14:paraId="59BF4C93" w14:textId="77777777" w:rsidR="007D33E1" w:rsidRDefault="00000000">
      <w:pPr>
        <w:ind w:left="-3"/>
      </w:pPr>
      <w:r>
        <w:t xml:space="preserve">Packing Group: Not Applicable Special Shipping Information:  </w:t>
      </w:r>
    </w:p>
    <w:p w14:paraId="1AE98722" w14:textId="77777777" w:rsidR="007D33E1" w:rsidRDefault="00000000">
      <w:pPr>
        <w:ind w:left="-3"/>
      </w:pPr>
      <w:r>
        <w:t xml:space="preserve">Freeze/Thaw Stable. Agitation required. </w:t>
      </w:r>
    </w:p>
    <w:p w14:paraId="0BF1F421" w14:textId="77777777" w:rsidR="007D33E1" w:rsidRDefault="00000000">
      <w:pPr>
        <w:ind w:left="-3"/>
      </w:pPr>
      <w:r>
        <w:t>Freeze at: -</w:t>
      </w:r>
      <w:proofErr w:type="gramStart"/>
      <w:r>
        <w:t>2  C</w:t>
      </w:r>
      <w:proofErr w:type="gramEnd"/>
      <w:r>
        <w:t xml:space="preserve"> </w:t>
      </w:r>
    </w:p>
    <w:p w14:paraId="5C2F421F" w14:textId="77777777" w:rsidR="007D33E1" w:rsidRDefault="007D33E1">
      <w:pPr>
        <w:sectPr w:rsidR="007D33E1">
          <w:type w:val="continuous"/>
          <w:pgSz w:w="12240" w:h="15840"/>
          <w:pgMar w:top="886" w:right="805" w:bottom="946" w:left="720" w:header="720" w:footer="720" w:gutter="0"/>
          <w:cols w:num="2" w:space="696"/>
        </w:sectPr>
      </w:pPr>
    </w:p>
    <w:p w14:paraId="1C087894" w14:textId="77777777" w:rsidR="007D33E1" w:rsidRDefault="00000000">
      <w:pPr>
        <w:pStyle w:val="Heading1"/>
        <w:ind w:left="-4"/>
      </w:pPr>
      <w:r>
        <w:t xml:space="preserve">Section 15: Regulatory Information </w:t>
      </w:r>
    </w:p>
    <w:p w14:paraId="0C068D07" w14:textId="77777777" w:rsidR="007D33E1" w:rsidRDefault="00000000">
      <w:pPr>
        <w:ind w:left="-3"/>
      </w:pPr>
      <w:r>
        <w:t xml:space="preserve">This safety data sheet has been prepared in accordance with the GHS standards. All materials used appear on the Canadian DSL. Materials not listed are either non-hazardous or in concentrations of less than 0.1%. </w:t>
      </w:r>
    </w:p>
    <w:p w14:paraId="725CEF0D" w14:textId="77777777" w:rsidR="007D33E1" w:rsidRDefault="00000000">
      <w:pPr>
        <w:spacing w:after="0" w:line="259" w:lineRule="auto"/>
        <w:ind w:left="0" w:firstLine="0"/>
      </w:pPr>
      <w:r>
        <w:t xml:space="preserve"> </w:t>
      </w:r>
    </w:p>
    <w:p w14:paraId="724BB7B0" w14:textId="77777777" w:rsidR="007D33E1" w:rsidRDefault="00000000">
      <w:pPr>
        <w:pStyle w:val="Heading1"/>
        <w:ind w:left="-4"/>
      </w:pPr>
      <w:r>
        <w:t xml:space="preserve">Section 16: Other Information </w:t>
      </w:r>
    </w:p>
    <w:p w14:paraId="5DD2BF6A" w14:textId="77777777" w:rsidR="007D33E1" w:rsidRDefault="00000000">
      <w:pPr>
        <w:ind w:left="-3"/>
      </w:pPr>
      <w:r>
        <w:t xml:space="preserve">Responsibility Statement </w:t>
      </w:r>
    </w:p>
    <w:p w14:paraId="790635AC" w14:textId="77777777" w:rsidR="007D33E1" w:rsidRDefault="00000000">
      <w:pPr>
        <w:spacing w:after="1" w:line="239" w:lineRule="auto"/>
        <w:ind w:left="0" w:firstLine="0"/>
        <w:jc w:val="both"/>
      </w:pPr>
      <w:r>
        <w:t xml:space="preserve">The information contained herein is provided as a guide to the handling of this product. It is our belief that the information provided in this safety data sheet is reliable. This product should not be used by any person who is not familiar with the contents of this safety data sheet, the recommendation found on the label and the technical data sheet. No warranty of any kind is given or implied and Enercon Water Treatment Ltd. assumes no responsibility for damages, losses, injuries or events resulting from damages incurred from its use. The information on this safety data sheet relates only to the specific material designated herein and does not relate to material use in combination with any other material or in any process. </w:t>
      </w:r>
    </w:p>
    <w:p w14:paraId="7E460476" w14:textId="77777777" w:rsidR="007D33E1" w:rsidRDefault="00000000">
      <w:pPr>
        <w:spacing w:after="0" w:line="259" w:lineRule="auto"/>
        <w:ind w:left="0" w:firstLine="0"/>
      </w:pPr>
      <w:r>
        <w:t xml:space="preserve"> </w:t>
      </w:r>
    </w:p>
    <w:p w14:paraId="5F26222B" w14:textId="77777777" w:rsidR="007D33E1" w:rsidRDefault="00000000">
      <w:pPr>
        <w:ind w:left="-3"/>
      </w:pPr>
      <w:r>
        <w:t xml:space="preserve">Prepared By: Technical Services </w:t>
      </w:r>
    </w:p>
    <w:p w14:paraId="54F9BCD6" w14:textId="77777777" w:rsidR="007D33E1" w:rsidRDefault="00000000">
      <w:pPr>
        <w:tabs>
          <w:tab w:val="center" w:pos="3420"/>
          <w:tab w:val="center" w:pos="4680"/>
          <w:tab w:val="center" w:pos="6580"/>
        </w:tabs>
        <w:ind w:left="-13" w:firstLine="0"/>
      </w:pPr>
      <w:r>
        <w:t xml:space="preserve">Preparation Date: March 1, </w:t>
      </w:r>
      <w:proofErr w:type="gramStart"/>
      <w:r>
        <w:t>2017</w:t>
      </w:r>
      <w:proofErr w:type="gramEnd"/>
      <w:r>
        <w:t xml:space="preserve"> </w:t>
      </w:r>
      <w:r>
        <w:tab/>
        <w:t xml:space="preserve"> </w:t>
      </w:r>
      <w:r>
        <w:tab/>
        <w:t xml:space="preserve"> </w:t>
      </w:r>
      <w:r>
        <w:tab/>
        <w:t xml:space="preserve">Modified:  April 3, 2020 </w:t>
      </w:r>
    </w:p>
    <w:p w14:paraId="0BCE4931" w14:textId="77777777" w:rsidR="007D33E1" w:rsidRDefault="00000000">
      <w:pPr>
        <w:spacing w:after="0" w:line="259" w:lineRule="auto"/>
        <w:ind w:left="0" w:firstLine="0"/>
      </w:pPr>
      <w:r>
        <w:t xml:space="preserve"> </w:t>
      </w:r>
    </w:p>
    <w:p w14:paraId="03DAA26A" w14:textId="77777777" w:rsidR="007D33E1" w:rsidRDefault="00000000">
      <w:pPr>
        <w:spacing w:after="0" w:line="259" w:lineRule="auto"/>
        <w:ind w:left="0" w:firstLine="0"/>
      </w:pPr>
      <w:r>
        <w:t xml:space="preserve"> </w:t>
      </w:r>
    </w:p>
    <w:sectPr w:rsidR="007D33E1">
      <w:type w:val="continuous"/>
      <w:pgSz w:w="12240" w:h="15840"/>
      <w:pgMar w:top="9079" w:right="717" w:bottom="26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E1"/>
    <w:rsid w:val="000142AA"/>
    <w:rsid w:val="007D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039D"/>
  <w15:docId w15:val="{8E2415AA-2011-4665-AF1B-0F3AB12B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eastAsia="Arial" w:hAnsi="Arial" w:cs="Arial"/>
      <w:color w:val="000000"/>
      <w:sz w:val="16"/>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142AA"/>
    <w:rPr>
      <w:color w:val="0563C1" w:themeColor="hyperlink"/>
      <w:u w:val="single"/>
    </w:rPr>
  </w:style>
  <w:style w:type="character" w:styleId="UnresolvedMention">
    <w:name w:val="Unresolved Mention"/>
    <w:basedOn w:val="DefaultParagraphFont"/>
    <w:uiPriority w:val="99"/>
    <w:semiHidden/>
    <w:unhideWhenUsed/>
    <w:rsid w:val="0001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hobroom@mymts.net"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FA6B72DE16F45BEB50912D137664D" ma:contentTypeVersion="13" ma:contentTypeDescription="Create a new document." ma:contentTypeScope="" ma:versionID="0b61bff99adaccfd8e72d4969123c1bb">
  <xsd:schema xmlns:xsd="http://www.w3.org/2001/XMLSchema" xmlns:xs="http://www.w3.org/2001/XMLSchema" xmlns:p="http://schemas.microsoft.com/office/2006/metadata/properties" xmlns:ns2="5f414b12-3ed7-414f-a389-6f3fea5fce58" xmlns:ns3="61e85166-5bc0-478c-a9a7-bab9332ea82b" targetNamespace="http://schemas.microsoft.com/office/2006/metadata/properties" ma:root="true" ma:fieldsID="848846ffd4ba36c7d096352aae2abea6" ns2:_="" ns3:_="">
    <xsd:import namespace="5f414b12-3ed7-414f-a389-6f3fea5fce58"/>
    <xsd:import namespace="61e85166-5bc0-478c-a9a7-bab9332ea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14b12-3ed7-414f-a389-6f3fea5fc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c67c85-f098-4c7e-a5f9-6aeb92d7769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85166-5bc0-478c-a9a7-bab9332ea8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5a794e-0166-41f4-9108-5dce3430af12}" ma:internalName="TaxCatchAll" ma:showField="CatchAllData" ma:web="61e85166-5bc0-478c-a9a7-bab9332ea8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52EF2-7F06-4A05-91A9-41540AE4AB12}"/>
</file>

<file path=customXml/itemProps2.xml><?xml version="1.0" encoding="utf-8"?>
<ds:datastoreItem xmlns:ds="http://schemas.openxmlformats.org/officeDocument/2006/customXml" ds:itemID="{580BE45F-32D2-4E60-96B1-FA76AAE73CB5}"/>
</file>

<file path=docProps/app.xml><?xml version="1.0" encoding="utf-8"?>
<Properties xmlns="http://schemas.openxmlformats.org/officeDocument/2006/extended-properties" xmlns:vt="http://schemas.openxmlformats.org/officeDocument/2006/docPropsVTypes">
  <Template>Normal</Template>
  <TotalTime>3</TotalTime>
  <Pages>2</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Company Identification and Chemical Product</dc:title>
  <dc:subject/>
  <dc:creator>Candis</dc:creator>
  <cp:keywords/>
  <cp:lastModifiedBy>Albert Thompson</cp:lastModifiedBy>
  <cp:revision>2</cp:revision>
  <dcterms:created xsi:type="dcterms:W3CDTF">2023-01-26T18:15:00Z</dcterms:created>
  <dcterms:modified xsi:type="dcterms:W3CDTF">2023-01-26T18:15:00Z</dcterms:modified>
</cp:coreProperties>
</file>